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Two: Social Determinants of Health</w:t>
      </w:r>
    </w:p>
    <w:p w:rsidR="00000000" w:rsidDel="00000000" w:rsidP="00000000" w:rsidRDefault="00000000" w:rsidRPr="00000000" w14:paraId="0000000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How do the social determinants affect a person’s overall health?</w:t>
      </w: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students will conduct in depth research of social determinants of health, which are</w:t>
      </w:r>
      <w:r w:rsidDel="00000000" w:rsidR="00000000" w:rsidRPr="00000000">
        <w:rPr>
          <w:rFonts w:ascii="Times New Roman" w:cs="Times New Roman" w:eastAsia="Times New Roman" w:hAnsi="Times New Roman"/>
          <w:color w:val="222222"/>
          <w:highlight w:val="white"/>
          <w:rtl w:val="0"/>
        </w:rPr>
        <w:t xml:space="preserve"> “the conditions in which people are born, grow, live, work and age. They include factors like socioeconomic status, education, neighborhood and physical environment, employment, and social support networks, as well as access to health care” (</w:t>
      </w:r>
      <w:r w:rsidDel="00000000" w:rsidR="00000000" w:rsidRPr="00000000">
        <w:rPr>
          <w:rFonts w:ascii="Times New Roman" w:cs="Times New Roman" w:eastAsia="Times New Roman" w:hAnsi="Times New Roman"/>
          <w:color w:val="333333"/>
          <w:highlight w:val="white"/>
          <w:rtl w:val="0"/>
        </w:rPr>
        <w:t xml:space="preserve">Artiga &amp; Hinton, 2019).</w:t>
      </w:r>
      <w:r w:rsidDel="00000000" w:rsidR="00000000" w:rsidRPr="00000000">
        <w:rPr>
          <w:rFonts w:ascii="Times New Roman" w:cs="Times New Roman" w:eastAsia="Times New Roman" w:hAnsi="Times New Roman"/>
          <w:color w:val="222222"/>
          <w:highlight w:val="white"/>
          <w:rtl w:val="0"/>
        </w:rPr>
        <w:t xml:space="preserve"> </w:t>
      </w:r>
      <w:r w:rsidDel="00000000" w:rsidR="00000000" w:rsidRPr="00000000">
        <w:rPr>
          <w:rFonts w:ascii="Times New Roman" w:cs="Times New Roman" w:eastAsia="Times New Roman" w:hAnsi="Times New Roman"/>
          <w:rtl w:val="0"/>
        </w:rPr>
        <w:t xml:space="preserve"> Students will gain a more specific knowledge of factors affecting health and the consequences of poor health.</w:t>
      </w:r>
    </w:p>
    <w:p w:rsidR="00000000" w:rsidDel="00000000" w:rsidP="00000000" w:rsidRDefault="00000000" w:rsidRPr="00000000" w14:paraId="00000006">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14:paraId="00000008">
      <w:pPr>
        <w:spacing w:line="24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able to define the social determinants of health.</w:t>
      </w:r>
    </w:p>
    <w:p w:rsidR="00000000" w:rsidDel="00000000" w:rsidP="00000000" w:rsidRDefault="00000000" w:rsidRPr="00000000" w14:paraId="00000009">
      <w:pPr>
        <w:spacing w:line="24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able to identify the impact of poor health.</w:t>
      </w:r>
    </w:p>
    <w:p w:rsidR="00000000" w:rsidDel="00000000" w:rsidP="00000000" w:rsidRDefault="00000000" w:rsidRPr="00000000" w14:paraId="0000000A">
      <w:pPr>
        <w:spacing w:line="240" w:lineRule="auto"/>
        <w:ind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able to deduce resources needed to restore health.</w:t>
      </w: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Language Objective:</w:t>
      </w:r>
    </w:p>
    <w:p w:rsidR="00000000" w:rsidDel="00000000" w:rsidP="00000000" w:rsidRDefault="00000000" w:rsidRPr="00000000" w14:paraId="0000000D">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discuss their definitions of social determinants</w:t>
      </w:r>
    </w:p>
    <w:p w:rsidR="00000000" w:rsidDel="00000000" w:rsidP="00000000" w:rsidRDefault="00000000" w:rsidRPr="00000000" w14:paraId="0000000E">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conduct research in groups  to compile a list of factors that influence individual health within their chosen determinant.</w:t>
      </w:r>
    </w:p>
    <w:p w:rsidR="00000000" w:rsidDel="00000000" w:rsidP="00000000" w:rsidRDefault="00000000" w:rsidRPr="00000000" w14:paraId="0000000F">
      <w:pPr>
        <w:spacing w:line="240" w:lineRule="auto"/>
        <w:ind w:left="7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orally present their results to the classroom and add them to written resource sheet.</w:t>
      </w:r>
    </w:p>
    <w:p w:rsidR="00000000" w:rsidDel="00000000" w:rsidP="00000000" w:rsidRDefault="00000000" w:rsidRPr="00000000" w14:paraId="00000010">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SMP, CTE):</w:t>
      </w:r>
    </w:p>
    <w:p w:rsidR="00000000" w:rsidDel="00000000" w:rsidP="00000000" w:rsidRDefault="00000000" w:rsidRPr="00000000" w14:paraId="00000012">
      <w:pPr>
        <w:spacing w:line="240" w:lineRule="auto"/>
        <w:rPr>
          <w:rFonts w:ascii="Times New Roman" w:cs="Times New Roman" w:eastAsia="Times New Roman" w:hAnsi="Times New Roman"/>
          <w:b w:val="1"/>
          <w:color w:val="4a86e8"/>
          <w:u w:val="single"/>
        </w:rPr>
      </w:pPr>
      <w:r w:rsidDel="00000000" w:rsidR="00000000" w:rsidRPr="00000000">
        <w:rPr>
          <w:rFonts w:ascii="Times New Roman" w:cs="Times New Roman" w:eastAsia="Times New Roman" w:hAnsi="Times New Roman"/>
          <w:b w:val="1"/>
          <w:color w:val="4a86e8"/>
          <w:u w:val="single"/>
          <w:rtl w:val="0"/>
        </w:rPr>
        <w:t xml:space="preserve">Family and Consumer Sciences National Standards</w:t>
      </w:r>
    </w:p>
    <w:p w:rsidR="00000000" w:rsidDel="00000000" w:rsidP="00000000" w:rsidRDefault="00000000" w:rsidRPr="00000000" w14:paraId="0000001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1.2.7</w:t>
      </w: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rtl w:val="0"/>
        </w:rPr>
        <w:t xml:space="preserve">Analyze factors that contribute to maintaining a safe and healthy school, work and community environments.</w:t>
      </w:r>
    </w:p>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1.3.4 Analyze community resources and systems of formal and informal support available to individuals and families.</w:t>
      </w: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color w:val="1155cc"/>
          <w:u w:val="single"/>
        </w:rPr>
      </w:pPr>
      <w:hyperlink r:id="rId6">
        <w:r w:rsidDel="00000000" w:rsidR="00000000" w:rsidRPr="00000000">
          <w:rPr>
            <w:rFonts w:ascii="Times New Roman" w:cs="Times New Roman" w:eastAsia="Times New Roman" w:hAnsi="Times New Roman"/>
            <w:color w:val="1155cc"/>
            <w:u w:val="single"/>
            <w:rtl w:val="0"/>
          </w:rPr>
          <w:t xml:space="preserve">CCSS.ELA-LITERACY.RST.11-12.7</w:t>
        </w:r>
      </w:hyperlink>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 and evaluate multiple sources of information presented in diverse formats and media (e.g., quantitative data, video, multimedia) in order to address a question or solve a problem.</w:t>
      </w:r>
    </w:p>
    <w:p w:rsidR="00000000" w:rsidDel="00000000" w:rsidP="00000000" w:rsidRDefault="00000000" w:rsidRPr="00000000" w14:paraId="00000017">
      <w:pPr>
        <w:spacing w:line="240" w:lineRule="auto"/>
        <w:rPr>
          <w:rFonts w:ascii="Times New Roman" w:cs="Times New Roman" w:eastAsia="Times New Roman" w:hAnsi="Times New Roman"/>
          <w:color w:val="4a86e8"/>
          <w:u w:val="single"/>
        </w:rPr>
      </w:pPr>
      <w:r w:rsidDel="00000000" w:rsidR="00000000" w:rsidRPr="00000000">
        <w:rPr>
          <w:rFonts w:ascii="Times New Roman" w:cs="Times New Roman" w:eastAsia="Times New Roman" w:hAnsi="Times New Roman"/>
          <w:color w:val="4a86e8"/>
          <w:u w:val="single"/>
          <w:rtl w:val="0"/>
        </w:rPr>
        <w:t xml:space="preserve">ELP standards (English Language Proficiency for ELLs)</w:t>
      </w:r>
    </w:p>
    <w:p w:rsidR="00000000" w:rsidDel="00000000" w:rsidP="00000000" w:rsidRDefault="00000000" w:rsidRPr="00000000" w14:paraId="00000018">
      <w:pPr>
        <w:spacing w:line="240" w:lineRule="auto"/>
        <w:rPr>
          <w:sz w:val="20"/>
          <w:szCs w:val="20"/>
        </w:rPr>
      </w:pPr>
      <w:r w:rsidDel="00000000" w:rsidR="00000000" w:rsidRPr="00000000">
        <w:rPr>
          <w:sz w:val="20"/>
          <w:szCs w:val="20"/>
          <w:rtl w:val="0"/>
        </w:rPr>
        <w:t xml:space="preserve">ELP Standard 2:</w:t>
      </w:r>
    </w:p>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sz w:val="20"/>
          <w:szCs w:val="20"/>
          <w:rtl w:val="0"/>
        </w:rPr>
        <w:t xml:space="preserve">…participate in grade-appropriate oral and written exchanges of information, ideas, and analyses, responding to peer, audience, or reader comments and questions…</w:t>
      </w: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14:paraId="0000001C">
      <w:pPr>
        <w:spacing w:line="240" w:lineRule="auto"/>
        <w:rPr>
          <w:rFonts w:ascii="Times New Roman" w:cs="Times New Roman" w:eastAsia="Times New Roman" w:hAnsi="Times New Roman"/>
          <w:color w:val="4a86e8"/>
          <w:u w:val="single"/>
        </w:rPr>
      </w:pPr>
      <w:r w:rsidDel="00000000" w:rsidR="00000000" w:rsidRPr="00000000">
        <w:rPr>
          <w:rFonts w:ascii="Times New Roman" w:cs="Times New Roman" w:eastAsia="Times New Roman" w:hAnsi="Times New Roman"/>
          <w:color w:val="4a86e8"/>
          <w:u w:val="single"/>
          <w:rtl w:val="0"/>
        </w:rPr>
        <w:t xml:space="preserve">21st Century Leadership Skills:</w:t>
      </w:r>
    </w:p>
    <w:p w:rsidR="00000000" w:rsidDel="00000000" w:rsidP="00000000" w:rsidRDefault="00000000" w:rsidRPr="00000000" w14:paraId="0000001D">
      <w:pPr>
        <w:spacing w:line="240" w:lineRule="auto"/>
        <w:rPr>
          <w:rFonts w:ascii="Times New Roman" w:cs="Times New Roman" w:eastAsia="Times New Roman" w:hAnsi="Times New Roman"/>
          <w:color w:val="4a86e8"/>
          <w:u w:val="single"/>
        </w:rPr>
      </w:pPr>
      <w:r w:rsidDel="00000000" w:rsidR="00000000" w:rsidRPr="00000000">
        <w:rPr>
          <w:rFonts w:ascii="Times New Roman" w:cs="Times New Roman" w:eastAsia="Times New Roman" w:hAnsi="Times New Roman"/>
          <w:rtl w:val="0"/>
        </w:rPr>
        <w:t xml:space="preserve">6.A.1 Use technology as a tool to research, organize, evaluate and communicate information</w:t>
      </w: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1.B.1 Develop, implement and communicate new ideas to others effectively</w:t>
      </w: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3.B.3 Assume shared responsibility for collaborative work, and value the individual contributions made by each team member.</w:t>
      </w: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color w:val="4a86e8"/>
          <w:u w:val="single"/>
        </w:rPr>
      </w:pPr>
      <w:r w:rsidDel="00000000" w:rsidR="00000000" w:rsidRPr="00000000">
        <w:rPr>
          <w:rFonts w:ascii="Times New Roman" w:cs="Times New Roman" w:eastAsia="Times New Roman" w:hAnsi="Times New Roman"/>
          <w:color w:val="4a86e8"/>
          <w:u w:val="single"/>
          <w:rtl w:val="0"/>
        </w:rPr>
        <w:t xml:space="preserve">SMP-Standards of Mathematical Practices</w:t>
      </w:r>
    </w:p>
    <w:p w:rsidR="00000000" w:rsidDel="00000000" w:rsidP="00000000" w:rsidRDefault="00000000" w:rsidRPr="00000000" w14:paraId="00000021">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240"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222222"/>
          <w:rtl w:val="0"/>
        </w:rPr>
        <w:t xml:space="preserve">Make sense of problems and persevere in solving them. ...</w:t>
      </w:r>
    </w:p>
    <w:p w:rsidR="00000000" w:rsidDel="00000000" w:rsidP="00000000" w:rsidRDefault="00000000" w:rsidRPr="00000000" w14:paraId="00000022">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line="240"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222222"/>
          <w:rtl w:val="0"/>
        </w:rPr>
        <w:t xml:space="preserve">Reason abstractly and quantitatively. ...</w:t>
      </w:r>
    </w:p>
    <w:p w:rsidR="00000000" w:rsidDel="00000000" w:rsidP="00000000" w:rsidRDefault="00000000" w:rsidRPr="00000000" w14:paraId="00000023">
      <w:pPr>
        <w:numPr>
          <w:ilvl w:val="0"/>
          <w:numId w:val="1"/>
        </w:numPr>
        <w:pBdr>
          <w:top w:color="auto" w:space="0" w:sz="0" w:val="none"/>
          <w:bottom w:color="auto" w:space="0" w:sz="0" w:val="none"/>
          <w:right w:color="auto" w:space="0" w:sz="0" w:val="none"/>
          <w:between w:color="auto" w:space="0" w:sz="0" w:val="none"/>
        </w:pBdr>
        <w:shd w:fill="ffffff" w:val="clear"/>
        <w:spacing w:after="60" w:line="240"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222222"/>
          <w:rtl w:val="0"/>
        </w:rPr>
        <w:t xml:space="preserve">Construct viable arguments and critique the reasoning of others. ...</w:t>
      </w:r>
    </w:p>
    <w:p w:rsidR="00000000" w:rsidDel="00000000" w:rsidP="00000000" w:rsidRDefault="00000000" w:rsidRPr="00000000" w14:paraId="00000024">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pacing w:line="240" w:lineRule="auto"/>
        <w:ind w:left="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14:paraId="00000028">
      <w:pPr>
        <w:spacing w:line="240" w:lineRule="auto"/>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use knowledge of determinants of health to assess school environment and contribute positively to a healthier community.</w:t>
      </w:r>
    </w:p>
    <w:p w:rsidR="00000000" w:rsidDel="00000000" w:rsidP="00000000" w:rsidRDefault="00000000" w:rsidRPr="00000000" w14:paraId="00000029">
      <w:pPr>
        <w:spacing w:line="240" w:lineRule="auto"/>
        <w:ind w:left="72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A">
      <w:pPr>
        <w:spacing w:line="240" w:lineRule="auto"/>
        <w:ind w:left="720" w:hanging="72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 </w:t>
      </w:r>
    </w:p>
    <w:p w:rsidR="00000000" w:rsidDel="00000000" w:rsidP="00000000" w:rsidRDefault="00000000" w:rsidRPr="00000000" w14:paraId="0000002B">
      <w:pPr>
        <w:spacing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While researching social determinants of health students will begin to explore careers within the</w:t>
      </w:r>
    </w:p>
    <w:p w:rsidR="00000000" w:rsidDel="00000000" w:rsidP="00000000" w:rsidRDefault="00000000" w:rsidRPr="00000000" w14:paraId="0000002C">
      <w:pPr>
        <w:spacing w:line="240" w:lineRule="auto"/>
        <w:ind w:left="720" w:hanging="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healthcare field. </w:t>
      </w: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 </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Media Files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2 Student Guide</w:t>
            </w:r>
          </w:p>
          <w:p w:rsidR="00000000" w:rsidDel="00000000" w:rsidP="00000000" w:rsidRDefault="00000000" w:rsidRPr="00000000" w14:paraId="0000003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-Health Triangle Personal Assessment</w:t>
            </w:r>
          </w:p>
          <w:p w:rsidR="00000000" w:rsidDel="00000000" w:rsidP="00000000" w:rsidRDefault="00000000" w:rsidRPr="00000000" w14:paraId="0000003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-Research Guide: Assessing Sources</w:t>
            </w:r>
          </w:p>
          <w:p w:rsidR="00000000" w:rsidDel="00000000" w:rsidP="00000000" w:rsidRDefault="00000000" w:rsidRPr="00000000" w14:paraId="0000003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-Large Poster paper for each group</w:t>
            </w:r>
          </w:p>
          <w:p w:rsidR="00000000" w:rsidDel="00000000" w:rsidP="00000000" w:rsidRDefault="00000000" w:rsidRPr="00000000" w14:paraId="0000003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-Markers</w:t>
            </w:r>
          </w:p>
          <w:p w:rsidR="00000000" w:rsidDel="00000000" w:rsidP="00000000" w:rsidRDefault="00000000" w:rsidRPr="00000000" w14:paraId="0000003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2 Social Determinants of Health</w:t>
            </w:r>
          </w:p>
          <w:p w:rsidR="00000000" w:rsidDel="00000000" w:rsidP="00000000" w:rsidRDefault="00000000" w:rsidRPr="00000000" w14:paraId="0000003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-Large Master Poster for classroom Display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Slide Decks:</w:t>
            </w:r>
          </w:p>
          <w:p w:rsidR="00000000" w:rsidDel="00000000" w:rsidP="00000000" w:rsidRDefault="00000000" w:rsidRPr="00000000" w14:paraId="0000003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PBL Health Cohort North - Lesson Plan 2 HS</w:t>
            </w:r>
          </w:p>
          <w:p w:rsidR="00000000" w:rsidDel="00000000" w:rsidP="00000000" w:rsidRDefault="00000000" w:rsidRPr="00000000" w14:paraId="0000003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PBL Health Cohort North - Lesson Plan 2 MS</w:t>
            </w:r>
          </w:p>
          <w:p w:rsidR="00000000" w:rsidDel="00000000" w:rsidP="00000000" w:rsidRDefault="00000000" w:rsidRPr="00000000" w14:paraId="0000003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Definition Cards</w:t>
            </w:r>
          </w:p>
        </w:tc>
      </w:tr>
    </w:tbl>
    <w:p w:rsidR="00000000" w:rsidDel="00000000" w:rsidP="00000000" w:rsidRDefault="00000000" w:rsidRPr="00000000" w14:paraId="0000003E">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3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Reserve computers for students; copy health assessment and student guides; reserve computers</w:t>
      </w:r>
    </w:p>
    <w:p w:rsidR="00000000" w:rsidDel="00000000" w:rsidP="00000000" w:rsidRDefault="00000000" w:rsidRPr="00000000" w14:paraId="00000040">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120 minutes</w:t>
      </w:r>
    </w:p>
    <w:p w:rsidR="00000000" w:rsidDel="00000000" w:rsidP="00000000" w:rsidRDefault="00000000" w:rsidRPr="00000000" w14:paraId="00000042">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3">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Grouping of students for instruction:</w:t>
      </w: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grouped heterogeneously by ability, language, gender and grade level. Students will be assigned individual roles modeled after POGILS and will receive cards outlining their roles and responsibilities.</w:t>
      </w:r>
    </w:p>
    <w:p w:rsidR="00000000" w:rsidDel="00000000" w:rsidP="00000000" w:rsidRDefault="00000000" w:rsidRPr="00000000" w14:paraId="00000045">
      <w:pPr>
        <w:spacing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explore distinct factors influencing health, and solving the problem of satisfying social determinants of health when providing health services.</w:t>
      </w:r>
    </w:p>
    <w:p w:rsidR="00000000" w:rsidDel="00000000" w:rsidP="00000000" w:rsidRDefault="00000000" w:rsidRPr="00000000" w14:paraId="00000048">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49">
      <w:pPr>
        <w:spacing w:line="240" w:lineRule="auto"/>
        <w:rPr>
          <w:rFonts w:ascii="Times New Roman" w:cs="Times New Roman" w:eastAsia="Times New Roman" w:hAnsi="Times New Roman"/>
          <w:b w:val="1"/>
          <w:color w:val="008000"/>
        </w:rPr>
      </w:pPr>
      <w:r w:rsidDel="00000000" w:rsidR="00000000" w:rsidRPr="00000000">
        <w:rPr>
          <w:rtl w:val="0"/>
        </w:rPr>
      </w:r>
    </w:p>
    <w:tbl>
      <w:tblPr>
        <w:tblStyle w:val="Table2"/>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35"/>
        <w:gridCol w:w="4335"/>
        <w:tblGridChange w:id="0">
          <w:tblGrid>
            <w:gridCol w:w="5235"/>
            <w:gridCol w:w="4335"/>
          </w:tblGrid>
        </w:tblGridChange>
      </w:tblGrid>
      <w:tr>
        <w:trPr>
          <w:trHeight w:val="315" w:hRule="atLeast"/>
        </w:trPr>
        <w:tc>
          <w:tcPr/>
          <w:p w:rsidR="00000000" w:rsidDel="00000000" w:rsidP="00000000" w:rsidRDefault="00000000" w:rsidRPr="00000000" w14:paraId="0000004A">
            <w:pPr>
              <w:spacing w:line="240" w:lineRule="auto"/>
              <w:rPr>
                <w:rFonts w:ascii="Times New Roman" w:cs="Times New Roman" w:eastAsia="Times New Roman" w:hAnsi="Times New Roman"/>
                <w:b w:val="1"/>
                <w:color w:val="008000"/>
              </w:rPr>
            </w:pPr>
            <w:r w:rsidDel="00000000" w:rsidR="00000000" w:rsidRPr="00000000">
              <w:rPr>
                <w:rFonts w:ascii="Times New Roman" w:cs="Times New Roman" w:eastAsia="Times New Roman" w:hAnsi="Times New Roman"/>
                <w:b w:val="1"/>
                <w:color w:val="008000"/>
                <w:rtl w:val="0"/>
              </w:rPr>
              <w:t xml:space="preserve">Teacher </w:t>
            </w:r>
          </w:p>
        </w:tc>
        <w:tc>
          <w:tcPr/>
          <w:p w:rsidR="00000000" w:rsidDel="00000000" w:rsidP="00000000" w:rsidRDefault="00000000" w:rsidRPr="00000000" w14:paraId="0000004B">
            <w:pPr>
              <w:spacing w:line="240" w:lineRule="auto"/>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Student</w:t>
            </w:r>
          </w:p>
        </w:tc>
      </w:tr>
      <w:tr>
        <w:tc>
          <w:tcPr/>
          <w:p w:rsidR="00000000" w:rsidDel="00000000" w:rsidP="00000000" w:rsidRDefault="00000000" w:rsidRPr="00000000" w14:paraId="0000004C">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Hand out </w:t>
            </w:r>
            <w:r w:rsidDel="00000000" w:rsidR="00000000" w:rsidRPr="00000000">
              <w:rPr>
                <w:rFonts w:ascii="Times New Roman" w:cs="Times New Roman" w:eastAsia="Times New Roman" w:hAnsi="Times New Roman"/>
                <w:color w:val="008000"/>
                <w:rtl w:val="0"/>
              </w:rPr>
              <w:t xml:space="preserve">Health Assessment</w:t>
            </w:r>
            <w:r w:rsidDel="00000000" w:rsidR="00000000" w:rsidRPr="00000000">
              <w:rPr>
                <w:rFonts w:ascii="Times New Roman" w:cs="Times New Roman" w:eastAsia="Times New Roman" w:hAnsi="Times New Roman"/>
                <w:color w:val="008000"/>
                <w:rtl w:val="0"/>
              </w:rPr>
              <w:t xml:space="preserve"> or give electronically.</w:t>
            </w:r>
          </w:p>
          <w:p w:rsidR="00000000" w:rsidDel="00000000" w:rsidP="00000000" w:rsidRDefault="00000000" w:rsidRPr="00000000" w14:paraId="0000004D">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Open assessment as class and review terms. Assist with Google Translate or vocabulary if needed. - 15 min</w:t>
            </w:r>
          </w:p>
        </w:tc>
        <w:tc>
          <w:tcPr/>
          <w:p w:rsidR="00000000" w:rsidDel="00000000" w:rsidP="00000000" w:rsidRDefault="00000000" w:rsidRPr="00000000" w14:paraId="0000004E">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Students complete Health Assessment individually. </w:t>
            </w:r>
          </w:p>
        </w:tc>
      </w:tr>
      <w:tr>
        <w:tc>
          <w:tcPr/>
          <w:p w:rsidR="00000000" w:rsidDel="00000000" w:rsidP="00000000" w:rsidRDefault="00000000" w:rsidRPr="00000000" w14:paraId="0000004F">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Have groups </w:t>
            </w:r>
            <w:r w:rsidDel="00000000" w:rsidR="00000000" w:rsidRPr="00000000">
              <w:rPr>
                <w:rFonts w:ascii="Times New Roman" w:cs="Times New Roman" w:eastAsia="Times New Roman" w:hAnsi="Times New Roman"/>
                <w:color w:val="008000"/>
                <w:rtl w:val="0"/>
              </w:rPr>
              <w:t xml:space="preserve">review norms on their posters from Lesson 1 </w:t>
            </w:r>
            <w:r w:rsidDel="00000000" w:rsidR="00000000" w:rsidRPr="00000000">
              <w:rPr>
                <w:rFonts w:ascii="Times New Roman" w:cs="Times New Roman" w:eastAsia="Times New Roman" w:hAnsi="Times New Roman"/>
                <w:color w:val="008000"/>
                <w:rtl w:val="0"/>
              </w:rPr>
              <w:t xml:space="preserve">- 5 min</w:t>
            </w:r>
          </w:p>
        </w:tc>
        <w:tc>
          <w:tcPr/>
          <w:p w:rsidR="00000000" w:rsidDel="00000000" w:rsidP="00000000" w:rsidRDefault="00000000" w:rsidRPr="00000000" w14:paraId="00000050">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Groups turn and talk to review the norms.</w:t>
            </w:r>
          </w:p>
          <w:p w:rsidR="00000000" w:rsidDel="00000000" w:rsidP="00000000" w:rsidRDefault="00000000" w:rsidRPr="00000000" w14:paraId="00000051">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Quickly share with class</w:t>
            </w:r>
          </w:p>
        </w:tc>
      </w:tr>
      <w:tr>
        <w:tc>
          <w:tcPr/>
          <w:p w:rsidR="00000000" w:rsidDel="00000000" w:rsidP="00000000" w:rsidRDefault="00000000" w:rsidRPr="00000000" w14:paraId="00000052">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Hand out group role cards with description and sentences starters;  5 min</w:t>
            </w:r>
            <w:r w:rsidDel="00000000" w:rsidR="00000000" w:rsidRPr="00000000">
              <w:rPr>
                <w:rtl w:val="0"/>
              </w:rPr>
            </w:r>
          </w:p>
        </w:tc>
        <w:tc>
          <w:tcPr/>
          <w:p w:rsidR="00000000" w:rsidDel="00000000" w:rsidP="00000000" w:rsidRDefault="00000000" w:rsidRPr="00000000" w14:paraId="00000053">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Review roles and pick roles for this activity</w:t>
            </w:r>
          </w:p>
          <w:p w:rsidR="00000000" w:rsidDel="00000000" w:rsidP="00000000" w:rsidRDefault="00000000" w:rsidRPr="00000000" w14:paraId="00000054">
            <w:pPr>
              <w:spacing w:line="240" w:lineRule="auto"/>
              <w:rPr>
                <w:rFonts w:ascii="Times New Roman" w:cs="Times New Roman" w:eastAsia="Times New Roman" w:hAnsi="Times New Roman"/>
                <w:color w:val="0000ff"/>
              </w:rPr>
            </w:pPr>
            <w:r w:rsidDel="00000000" w:rsidR="00000000" w:rsidRPr="00000000">
              <w:rPr>
                <w:rtl w:val="0"/>
              </w:rPr>
            </w:r>
          </w:p>
        </w:tc>
      </w:tr>
      <w:tr>
        <w:tc>
          <w:tcPr/>
          <w:p w:rsidR="00000000" w:rsidDel="00000000" w:rsidP="00000000" w:rsidRDefault="00000000" w:rsidRPr="00000000" w14:paraId="00000055">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Review last activity - show video again (first 40 seconds)</w:t>
            </w:r>
          </w:p>
          <w:p w:rsidR="00000000" w:rsidDel="00000000" w:rsidP="00000000" w:rsidRDefault="00000000" w:rsidRPr="00000000" w14:paraId="00000056">
            <w:pPr>
              <w:spacing w:line="240" w:lineRule="auto"/>
              <w:rPr>
                <w:rFonts w:ascii="Times New Roman" w:cs="Times New Roman" w:eastAsia="Times New Roman" w:hAnsi="Times New Roman"/>
                <w:color w:val="008000"/>
              </w:rPr>
            </w:pPr>
            <w:hyperlink r:id="rId7">
              <w:r w:rsidDel="00000000" w:rsidR="00000000" w:rsidRPr="00000000">
                <w:rPr>
                  <w:rFonts w:ascii="Times New Roman" w:cs="Times New Roman" w:eastAsia="Times New Roman" w:hAnsi="Times New Roman"/>
                  <w:color w:val="1155cc"/>
                  <w:u w:val="single"/>
                  <w:rtl w:val="0"/>
                </w:rPr>
                <w:t xml:space="preserve">https://www.youtube.com/watch?v=1iSuZngvCpY</w:t>
              </w:r>
            </w:hyperlink>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Review vocabulary of social determinants</w:t>
            </w:r>
          </w:p>
          <w:p w:rsidR="00000000" w:rsidDel="00000000" w:rsidP="00000000" w:rsidRDefault="00000000" w:rsidRPr="00000000" w14:paraId="00000058">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Materials: word cards with explanation of:</w:t>
            </w:r>
          </w:p>
          <w:p w:rsidR="00000000" w:rsidDel="00000000" w:rsidP="00000000" w:rsidRDefault="00000000" w:rsidRPr="00000000" w14:paraId="00000059">
            <w:pPr>
              <w:numPr>
                <w:ilvl w:val="0"/>
                <w:numId w:val="2"/>
              </w:numPr>
              <w:spacing w:line="240" w:lineRule="auto"/>
              <w:ind w:left="720" w:hanging="360"/>
              <w:rPr>
                <w:rFonts w:ascii="Times New Roman" w:cs="Times New Roman" w:eastAsia="Times New Roman" w:hAnsi="Times New Roman"/>
                <w:color w:val="008000"/>
                <w:u w:val="none"/>
              </w:rPr>
            </w:pPr>
            <w:r w:rsidDel="00000000" w:rsidR="00000000" w:rsidRPr="00000000">
              <w:rPr>
                <w:rFonts w:ascii="Times New Roman" w:cs="Times New Roman" w:eastAsia="Times New Roman" w:hAnsi="Times New Roman"/>
                <w:color w:val="008000"/>
                <w:rtl w:val="0"/>
              </w:rPr>
              <w:t xml:space="preserve">Economic stability</w:t>
            </w:r>
          </w:p>
          <w:p w:rsidR="00000000" w:rsidDel="00000000" w:rsidP="00000000" w:rsidRDefault="00000000" w:rsidRPr="00000000" w14:paraId="0000005A">
            <w:pPr>
              <w:numPr>
                <w:ilvl w:val="0"/>
                <w:numId w:val="2"/>
              </w:numPr>
              <w:spacing w:line="240" w:lineRule="auto"/>
              <w:ind w:left="720" w:hanging="360"/>
              <w:rPr>
                <w:rFonts w:ascii="Times New Roman" w:cs="Times New Roman" w:eastAsia="Times New Roman" w:hAnsi="Times New Roman"/>
                <w:color w:val="008000"/>
                <w:u w:val="none"/>
              </w:rPr>
            </w:pPr>
            <w:r w:rsidDel="00000000" w:rsidR="00000000" w:rsidRPr="00000000">
              <w:rPr>
                <w:rFonts w:ascii="Times New Roman" w:cs="Times New Roman" w:eastAsia="Times New Roman" w:hAnsi="Times New Roman"/>
                <w:color w:val="008000"/>
                <w:rtl w:val="0"/>
              </w:rPr>
              <w:t xml:space="preserve">Education</w:t>
            </w:r>
          </w:p>
          <w:p w:rsidR="00000000" w:rsidDel="00000000" w:rsidP="00000000" w:rsidRDefault="00000000" w:rsidRPr="00000000" w14:paraId="0000005B">
            <w:pPr>
              <w:numPr>
                <w:ilvl w:val="0"/>
                <w:numId w:val="2"/>
              </w:numPr>
              <w:spacing w:line="240" w:lineRule="auto"/>
              <w:ind w:left="720" w:hanging="360"/>
              <w:rPr>
                <w:rFonts w:ascii="Times New Roman" w:cs="Times New Roman" w:eastAsia="Times New Roman" w:hAnsi="Times New Roman"/>
                <w:color w:val="008000"/>
                <w:u w:val="none"/>
              </w:rPr>
            </w:pPr>
            <w:r w:rsidDel="00000000" w:rsidR="00000000" w:rsidRPr="00000000">
              <w:rPr>
                <w:rFonts w:ascii="Times New Roman" w:cs="Times New Roman" w:eastAsia="Times New Roman" w:hAnsi="Times New Roman"/>
                <w:color w:val="008000"/>
                <w:rtl w:val="0"/>
              </w:rPr>
              <w:t xml:space="preserve">Social and Community Supports</w:t>
            </w:r>
          </w:p>
          <w:p w:rsidR="00000000" w:rsidDel="00000000" w:rsidP="00000000" w:rsidRDefault="00000000" w:rsidRPr="00000000" w14:paraId="0000005C">
            <w:pPr>
              <w:numPr>
                <w:ilvl w:val="0"/>
                <w:numId w:val="2"/>
              </w:numPr>
              <w:spacing w:line="240" w:lineRule="auto"/>
              <w:ind w:left="720" w:hanging="360"/>
              <w:rPr>
                <w:rFonts w:ascii="Times New Roman" w:cs="Times New Roman" w:eastAsia="Times New Roman" w:hAnsi="Times New Roman"/>
                <w:color w:val="008000"/>
                <w:u w:val="none"/>
              </w:rPr>
            </w:pPr>
            <w:r w:rsidDel="00000000" w:rsidR="00000000" w:rsidRPr="00000000">
              <w:rPr>
                <w:rFonts w:ascii="Times New Roman" w:cs="Times New Roman" w:eastAsia="Times New Roman" w:hAnsi="Times New Roman"/>
                <w:color w:val="008000"/>
                <w:rtl w:val="0"/>
              </w:rPr>
              <w:t xml:space="preserve">Health Care</w:t>
            </w:r>
          </w:p>
          <w:p w:rsidR="00000000" w:rsidDel="00000000" w:rsidP="00000000" w:rsidRDefault="00000000" w:rsidRPr="00000000" w14:paraId="0000005D">
            <w:pPr>
              <w:numPr>
                <w:ilvl w:val="0"/>
                <w:numId w:val="2"/>
              </w:numPr>
              <w:spacing w:line="240" w:lineRule="auto"/>
              <w:ind w:left="720" w:hanging="360"/>
              <w:rPr>
                <w:rFonts w:ascii="Times New Roman" w:cs="Times New Roman" w:eastAsia="Times New Roman" w:hAnsi="Times New Roman"/>
                <w:color w:val="008000"/>
                <w:u w:val="none"/>
              </w:rPr>
            </w:pPr>
            <w:r w:rsidDel="00000000" w:rsidR="00000000" w:rsidRPr="00000000">
              <w:rPr>
                <w:rFonts w:ascii="Times New Roman" w:cs="Times New Roman" w:eastAsia="Times New Roman" w:hAnsi="Times New Roman"/>
                <w:color w:val="008000"/>
                <w:rtl w:val="0"/>
              </w:rPr>
              <w:t xml:space="preserve">Food</w:t>
            </w:r>
          </w:p>
          <w:p w:rsidR="00000000" w:rsidDel="00000000" w:rsidP="00000000" w:rsidRDefault="00000000" w:rsidRPr="00000000" w14:paraId="0000005E">
            <w:pPr>
              <w:numPr>
                <w:ilvl w:val="0"/>
                <w:numId w:val="2"/>
              </w:numPr>
              <w:spacing w:line="240" w:lineRule="auto"/>
              <w:ind w:left="720" w:hanging="360"/>
              <w:rPr>
                <w:rFonts w:ascii="Times New Roman" w:cs="Times New Roman" w:eastAsia="Times New Roman" w:hAnsi="Times New Roman"/>
                <w:color w:val="008000"/>
                <w:u w:val="none"/>
              </w:rPr>
            </w:pPr>
            <w:r w:rsidDel="00000000" w:rsidR="00000000" w:rsidRPr="00000000">
              <w:rPr>
                <w:rFonts w:ascii="Times New Roman" w:cs="Times New Roman" w:eastAsia="Times New Roman" w:hAnsi="Times New Roman"/>
                <w:color w:val="008000"/>
                <w:rtl w:val="0"/>
              </w:rPr>
              <w:t xml:space="preserve">Neighborhood and Physical Environment</w:t>
            </w:r>
          </w:p>
          <w:p w:rsidR="00000000" w:rsidDel="00000000" w:rsidP="00000000" w:rsidRDefault="00000000" w:rsidRPr="00000000" w14:paraId="0000005F">
            <w:pPr>
              <w:spacing w:line="240" w:lineRule="auto"/>
              <w:ind w:left="0" w:firstLine="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60">
            <w:pPr>
              <w:spacing w:line="240" w:lineRule="auto"/>
              <w:ind w:left="0" w:firstLine="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10 minutes</w:t>
            </w:r>
          </w:p>
          <w:p w:rsidR="00000000" w:rsidDel="00000000" w:rsidP="00000000" w:rsidRDefault="00000000" w:rsidRPr="00000000" w14:paraId="00000061">
            <w:pPr>
              <w:spacing w:line="240" w:lineRule="auto"/>
              <w:rPr>
                <w:rFonts w:ascii="Times New Roman" w:cs="Times New Roman" w:eastAsia="Times New Roman" w:hAnsi="Times New Roman"/>
                <w:color w:val="008000"/>
              </w:rPr>
            </w:pPr>
            <w:r w:rsidDel="00000000" w:rsidR="00000000" w:rsidRPr="00000000">
              <w:rPr>
                <w:rtl w:val="0"/>
              </w:rPr>
            </w:r>
          </w:p>
        </w:tc>
        <w:tc>
          <w:tcPr/>
          <w:p w:rsidR="00000000" w:rsidDel="00000000" w:rsidP="00000000" w:rsidRDefault="00000000" w:rsidRPr="00000000" w14:paraId="00000062">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A b</w:t>
            </w:r>
            <w:r w:rsidDel="00000000" w:rsidR="00000000" w:rsidRPr="00000000">
              <w:rPr>
                <w:rFonts w:ascii="Times New Roman" w:cs="Times New Roman" w:eastAsia="Times New Roman" w:hAnsi="Times New Roman"/>
                <w:color w:val="0000ff"/>
                <w:rtl w:val="0"/>
              </w:rPr>
              <w:t xml:space="preserve">owl </w:t>
            </w:r>
            <w:r w:rsidDel="00000000" w:rsidR="00000000" w:rsidRPr="00000000">
              <w:rPr>
                <w:rFonts w:ascii="Times New Roman" w:cs="Times New Roman" w:eastAsia="Times New Roman" w:hAnsi="Times New Roman"/>
                <w:color w:val="0000ff"/>
                <w:rtl w:val="0"/>
              </w:rPr>
              <w:t xml:space="preserve">with numbers for groups. Pick your starting number. According to the number drawn, students come up to pick one determinant from bowl to research.</w:t>
            </w:r>
          </w:p>
          <w:p w:rsidR="00000000" w:rsidDel="00000000" w:rsidP="00000000" w:rsidRDefault="00000000" w:rsidRPr="00000000" w14:paraId="00000063">
            <w:pPr>
              <w:spacing w:line="240" w:lineRule="auto"/>
              <w:rPr>
                <w:rFonts w:ascii="Times New Roman" w:cs="Times New Roman" w:eastAsia="Times New Roman" w:hAnsi="Times New Roman"/>
                <w:color w:val="0000ff"/>
              </w:rPr>
            </w:pP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color w:val="0000ff"/>
              </w:rPr>
            </w:pPr>
            <w:r w:rsidDel="00000000" w:rsidR="00000000" w:rsidRPr="00000000">
              <w:rPr>
                <w:rtl w:val="0"/>
              </w:rPr>
            </w:r>
          </w:p>
        </w:tc>
      </w:tr>
      <w:tr>
        <w:tc>
          <w:tcPr/>
          <w:p w:rsidR="00000000" w:rsidDel="00000000" w:rsidP="00000000" w:rsidRDefault="00000000" w:rsidRPr="00000000" w14:paraId="00000065">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Introduce assignment requirements and note-taker</w:t>
            </w:r>
          </w:p>
        </w:tc>
        <w:tc>
          <w:tcPr/>
          <w:p w:rsidR="00000000" w:rsidDel="00000000" w:rsidP="00000000" w:rsidRDefault="00000000" w:rsidRPr="00000000" w14:paraId="00000066">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Students access online document.</w:t>
            </w:r>
          </w:p>
        </w:tc>
      </w:tr>
      <w:tr>
        <w:tc>
          <w:tcPr/>
          <w:p w:rsidR="00000000" w:rsidDel="00000000" w:rsidP="00000000" w:rsidRDefault="00000000" w:rsidRPr="00000000" w14:paraId="00000067">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Give instructions about vetting Google links; 10 minutes</w:t>
            </w:r>
          </w:p>
          <w:p w:rsidR="00000000" w:rsidDel="00000000" w:rsidP="00000000" w:rsidRDefault="00000000" w:rsidRPr="00000000" w14:paraId="00000068">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69">
            <w:pPr>
              <w:spacing w:line="240" w:lineRule="auto"/>
              <w:rPr>
                <w:rFonts w:ascii="Times New Roman" w:cs="Times New Roman" w:eastAsia="Times New Roman" w:hAnsi="Times New Roman"/>
                <w:color w:val="008000"/>
              </w:rPr>
            </w:pPr>
            <w:r w:rsidDel="00000000" w:rsidR="00000000" w:rsidRPr="00000000">
              <w:rPr>
                <w:rtl w:val="0"/>
              </w:rPr>
            </w:r>
          </w:p>
        </w:tc>
        <w:tc>
          <w:tcPr/>
          <w:p w:rsidR="00000000" w:rsidDel="00000000" w:rsidP="00000000" w:rsidRDefault="00000000" w:rsidRPr="00000000" w14:paraId="0000006A">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Research information about their determinants</w:t>
            </w:r>
          </w:p>
          <w:p w:rsidR="00000000" w:rsidDel="00000000" w:rsidP="00000000" w:rsidRDefault="00000000" w:rsidRPr="00000000" w14:paraId="0000006B">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Justify validity of source and record list of sources</w:t>
            </w:r>
          </w:p>
          <w:p w:rsidR="00000000" w:rsidDel="00000000" w:rsidP="00000000" w:rsidRDefault="00000000" w:rsidRPr="00000000" w14:paraId="0000006C">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Pick your top 3 sources.</w:t>
            </w:r>
          </w:p>
        </w:tc>
      </w:tr>
      <w:tr>
        <w:tc>
          <w:tcPr/>
          <w:p w:rsidR="00000000" w:rsidDel="00000000" w:rsidP="00000000" w:rsidRDefault="00000000" w:rsidRPr="00000000" w14:paraId="0000006D">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Support students in creating definition for their social determinant; 10 minutes</w:t>
            </w:r>
          </w:p>
        </w:tc>
        <w:tc>
          <w:tcPr/>
          <w:p w:rsidR="00000000" w:rsidDel="00000000" w:rsidP="00000000" w:rsidRDefault="00000000" w:rsidRPr="00000000" w14:paraId="0000006E">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Create definitions to add to back of your Definition</w:t>
            </w:r>
            <w:r w:rsidDel="00000000" w:rsidR="00000000" w:rsidRPr="00000000">
              <w:rPr>
                <w:rFonts w:ascii="Times New Roman" w:cs="Times New Roman" w:eastAsia="Times New Roman" w:hAnsi="Times New Roman"/>
                <w:color w:val="0000ff"/>
                <w:rtl w:val="0"/>
              </w:rPr>
              <w:t xml:space="preserve"> card</w:t>
            </w:r>
            <w:r w:rsidDel="00000000" w:rsidR="00000000" w:rsidRPr="00000000">
              <w:rPr>
                <w:rFonts w:ascii="Times New Roman" w:cs="Times New Roman" w:eastAsia="Times New Roman" w:hAnsi="Times New Roman"/>
                <w:color w:val="0000ff"/>
                <w:rtl w:val="0"/>
              </w:rPr>
              <w:t xml:space="preserve">:</w:t>
            </w:r>
          </w:p>
          <w:p w:rsidR="00000000" w:rsidDel="00000000" w:rsidP="00000000" w:rsidRDefault="00000000" w:rsidRPr="00000000" w14:paraId="0000006F">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Discuss language of definition and use English level appropriate vocabulary (in their own words)</w:t>
            </w:r>
          </w:p>
        </w:tc>
      </w:tr>
      <w:tr>
        <w:tc>
          <w:tcPr/>
          <w:p w:rsidR="00000000" w:rsidDel="00000000" w:rsidP="00000000" w:rsidRDefault="00000000" w:rsidRPr="00000000" w14:paraId="00000070">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Facilitate group discussions around finding answers to questions on note-taker(Student Guide); 40 minutes</w:t>
            </w:r>
          </w:p>
        </w:tc>
        <w:tc>
          <w:tcPr/>
          <w:p w:rsidR="00000000" w:rsidDel="00000000" w:rsidP="00000000" w:rsidRDefault="00000000" w:rsidRPr="00000000" w14:paraId="00000071">
            <w:pPr>
              <w:ind w:left="0" w:firstLine="0"/>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Students sort information, evaluate sources, complete note-taker (sheet- Student Guide).</w:t>
            </w:r>
          </w:p>
        </w:tc>
      </w:tr>
      <w:tr>
        <w:trPr>
          <w:trHeight w:val="1395" w:hRule="atLeast"/>
        </w:trPr>
        <w:tc>
          <w:tcPr/>
          <w:p w:rsidR="00000000" w:rsidDel="00000000" w:rsidP="00000000" w:rsidRDefault="00000000" w:rsidRPr="00000000" w14:paraId="00000072">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Give each group a big sticky sheet of paper or digital platform of choice to report out their findings. </w:t>
            </w:r>
          </w:p>
          <w:p w:rsidR="00000000" w:rsidDel="00000000" w:rsidP="00000000" w:rsidRDefault="00000000" w:rsidRPr="00000000" w14:paraId="00000073">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15 min</w:t>
            </w:r>
          </w:p>
        </w:tc>
        <w:tc>
          <w:tcPr/>
          <w:p w:rsidR="00000000" w:rsidDel="00000000" w:rsidP="00000000" w:rsidRDefault="00000000" w:rsidRPr="00000000" w14:paraId="00000074">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Students add determinant to health web.</w:t>
            </w:r>
          </w:p>
          <w:p w:rsidR="00000000" w:rsidDel="00000000" w:rsidP="00000000" w:rsidRDefault="00000000" w:rsidRPr="00000000" w14:paraId="00000075">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Detailed results of research are displayed on large Post-it.</w:t>
            </w:r>
          </w:p>
        </w:tc>
      </w:tr>
      <w:tr>
        <w:tc>
          <w:tcPr/>
          <w:p w:rsidR="00000000" w:rsidDel="00000000" w:rsidP="00000000" w:rsidRDefault="00000000" w:rsidRPr="00000000" w14:paraId="00000076">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Facilitate share out in front of class</w:t>
            </w:r>
          </w:p>
          <w:p w:rsidR="00000000" w:rsidDel="00000000" w:rsidP="00000000" w:rsidRDefault="00000000" w:rsidRPr="00000000" w14:paraId="00000077">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30 min</w:t>
            </w:r>
          </w:p>
        </w:tc>
        <w:tc>
          <w:tcPr/>
          <w:p w:rsidR="00000000" w:rsidDel="00000000" w:rsidP="00000000" w:rsidRDefault="00000000" w:rsidRPr="00000000" w14:paraId="00000078">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Students report out findings as group in front of class. Report can be digital or on paper.</w:t>
            </w:r>
          </w:p>
        </w:tc>
      </w:tr>
      <w:tr>
        <w:tc>
          <w:tcPr/>
          <w:p w:rsidR="00000000" w:rsidDel="00000000" w:rsidP="00000000" w:rsidRDefault="00000000" w:rsidRPr="00000000" w14:paraId="00000079">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Enter social determinants with major factors on class Health Web (optional) 10 min.</w:t>
            </w:r>
          </w:p>
        </w:tc>
        <w:tc>
          <w:tcPr/>
          <w:p w:rsidR="00000000" w:rsidDel="00000000" w:rsidP="00000000" w:rsidRDefault="00000000" w:rsidRPr="00000000" w14:paraId="0000007A">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Teams coach teacher in entering their determinant’s information on Class Web.</w:t>
            </w:r>
          </w:p>
        </w:tc>
      </w:tr>
      <w:tr>
        <w:tc>
          <w:tcPr/>
          <w:p w:rsidR="00000000" w:rsidDel="00000000" w:rsidP="00000000" w:rsidRDefault="00000000" w:rsidRPr="00000000" w14:paraId="0000007B">
            <w:pPr>
              <w:spacing w:line="240" w:lineRule="auto"/>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Hand out </w:t>
            </w:r>
            <w:r w:rsidDel="00000000" w:rsidR="00000000" w:rsidRPr="00000000">
              <w:rPr>
                <w:rFonts w:ascii="Times New Roman" w:cs="Times New Roman" w:eastAsia="Times New Roman" w:hAnsi="Times New Roman"/>
                <w:color w:val="008000"/>
                <w:rtl w:val="0"/>
              </w:rPr>
              <w:t xml:space="preserve">Group Self Assessment</w:t>
            </w:r>
            <w:r w:rsidDel="00000000" w:rsidR="00000000" w:rsidRPr="00000000">
              <w:rPr>
                <w:rFonts w:ascii="Times New Roman" w:cs="Times New Roman" w:eastAsia="Times New Roman" w:hAnsi="Times New Roman"/>
                <w:color w:val="008000"/>
                <w:rtl w:val="0"/>
              </w:rPr>
              <w:t xml:space="preserve"> sheet</w:t>
            </w:r>
          </w:p>
        </w:tc>
        <w:tc>
          <w:tcPr/>
          <w:p w:rsidR="00000000" w:rsidDel="00000000" w:rsidP="00000000" w:rsidRDefault="00000000" w:rsidRPr="00000000" w14:paraId="0000007C">
            <w:pPr>
              <w:spacing w:line="240" w:lineRule="auto"/>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Students complete self and team member assessment individually. Return to teacher.</w:t>
            </w:r>
          </w:p>
        </w:tc>
      </w:tr>
    </w:tbl>
    <w:p w:rsidR="00000000" w:rsidDel="00000000" w:rsidP="00000000" w:rsidRDefault="00000000" w:rsidRPr="00000000" w14:paraId="0000007D">
      <w:pPr>
        <w:spacing w:line="240" w:lineRule="auto"/>
        <w:rPr>
          <w:rFonts w:ascii="Times New Roman" w:cs="Times New Roman" w:eastAsia="Times New Roman" w:hAnsi="Times New Roman"/>
          <w:b w:val="1"/>
          <w:highlight w:val="yellow"/>
        </w:rPr>
      </w:pP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modification for ELL: provide lower level resources; visuals for each step of instruction; outline of expected outcome; checklist;</w:t>
      </w:r>
    </w:p>
    <w:p w:rsidR="00000000" w:rsidDel="00000000" w:rsidP="00000000" w:rsidRDefault="00000000" w:rsidRPr="00000000" w14:paraId="0000007F">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p>
    <w:p w:rsidR="00000000" w:rsidDel="00000000" w:rsidP="00000000" w:rsidRDefault="00000000" w:rsidRPr="00000000" w14:paraId="00000081">
      <w:pPr>
        <w:spacing w:line="240" w:lineRule="auto"/>
        <w:rPr>
          <w:rFonts w:ascii="Times New Roman" w:cs="Times New Roman" w:eastAsia="Times New Roman" w:hAnsi="Times New Roman"/>
          <w:b w:val="1"/>
          <w:highlight w:val="yellow"/>
        </w:rPr>
      </w:pPr>
      <w:r w:rsidDel="00000000" w:rsidR="00000000" w:rsidRPr="00000000">
        <w:rPr>
          <w:rtl w:val="0"/>
        </w:rPr>
      </w:r>
    </w:p>
    <w:p w:rsidR="00000000" w:rsidDel="00000000" w:rsidP="00000000" w:rsidRDefault="00000000" w:rsidRPr="00000000" w14:paraId="00000082">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Formative:</w:t>
      </w:r>
    </w:p>
    <w:p w:rsidR="00000000" w:rsidDel="00000000" w:rsidP="00000000" w:rsidRDefault="00000000" w:rsidRPr="00000000" w14:paraId="00000083">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Notes</w:t>
      </w:r>
    </w:p>
    <w:p w:rsidR="00000000" w:rsidDel="00000000" w:rsidP="00000000" w:rsidRDefault="00000000" w:rsidRPr="00000000" w14:paraId="00000084">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Observation of group roles and interaction; </w:t>
      </w:r>
    </w:p>
    <w:p w:rsidR="00000000" w:rsidDel="00000000" w:rsidP="00000000" w:rsidRDefault="00000000" w:rsidRPr="00000000" w14:paraId="00000085">
      <w:pPr>
        <w:numPr>
          <w:ilvl w:val="0"/>
          <w:numId w:val="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 self assessment after second group experience</w:t>
      </w:r>
    </w:p>
    <w:p w:rsidR="00000000" w:rsidDel="00000000" w:rsidP="00000000" w:rsidRDefault="00000000" w:rsidRPr="00000000" w14:paraId="00000086">
      <w:pPr>
        <w:spacing w:line="240" w:lineRule="auto"/>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087">
      <w:pPr>
        <w:spacing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14:paraId="00000088">
      <w:pPr>
        <w:spacing w:line="240" w:lineRule="auto"/>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14:paraId="00000089">
      <w:pPr>
        <w:spacing w:line="24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Artiga, S., &amp; Hinton, E. (2019, July 9). Beyond Health Care: The Role of Social Determinants in Promoting Health and Health Equity. Retrieved from </w:t>
      </w:r>
      <w:hyperlink r:id="rId8">
        <w:r w:rsidDel="00000000" w:rsidR="00000000" w:rsidRPr="00000000">
          <w:rPr>
            <w:rFonts w:ascii="Times New Roman" w:cs="Times New Roman" w:eastAsia="Times New Roman" w:hAnsi="Times New Roman"/>
            <w:color w:val="1155cc"/>
            <w:sz w:val="24"/>
            <w:szCs w:val="24"/>
            <w:u w:val="single"/>
            <w:rtl w:val="0"/>
          </w:rPr>
          <w:t xml:space="preserve">https://www.kff.org/disparities-policy/issue-brief/beyond-health-care-the-role-of-social-determinants-in-promoting-health-and-health-equity/</w:t>
        </w:r>
      </w:hyperlink>
      <w:r w:rsidDel="00000000" w:rsidR="00000000" w:rsidRPr="00000000">
        <w:rPr>
          <w:rFonts w:ascii="Times New Roman" w:cs="Times New Roman" w:eastAsia="Times New Roman" w:hAnsi="Times New Roman"/>
          <w:color w:val="333333"/>
          <w:sz w:val="24"/>
          <w:szCs w:val="24"/>
          <w:rtl w:val="0"/>
        </w:rPr>
        <w:t xml:space="preserve">.</w:t>
      </w:r>
    </w:p>
    <w:p w:rsidR="00000000" w:rsidDel="00000000" w:rsidP="00000000" w:rsidRDefault="00000000" w:rsidRPr="00000000" w14:paraId="0000008A">
      <w:pPr>
        <w:spacing w:line="240" w:lineRule="auto"/>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8B">
      <w:pPr>
        <w:spacing w:line="24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Social Determinants of Health. (n.d.). Retrieved from </w:t>
      </w:r>
      <w:hyperlink r:id="rId9">
        <w:r w:rsidDel="00000000" w:rsidR="00000000" w:rsidRPr="00000000">
          <w:rPr>
            <w:rFonts w:ascii="Times New Roman" w:cs="Times New Roman" w:eastAsia="Times New Roman" w:hAnsi="Times New Roman"/>
            <w:color w:val="1155cc"/>
            <w:sz w:val="24"/>
            <w:szCs w:val="24"/>
            <w:u w:val="single"/>
            <w:rtl w:val="0"/>
          </w:rPr>
          <w:t xml:space="preserve">https://www.healthypeople.gov/2020/topics-objectives/topic/social-determinants-of-health</w:t>
        </w:r>
      </w:hyperlink>
      <w:r w:rsidDel="00000000" w:rsidR="00000000" w:rsidRPr="00000000">
        <w:rPr>
          <w:rFonts w:ascii="Times New Roman" w:cs="Times New Roman" w:eastAsia="Times New Roman" w:hAnsi="Times New Roman"/>
          <w:color w:val="333333"/>
          <w:sz w:val="24"/>
          <w:szCs w:val="24"/>
          <w:rtl w:val="0"/>
        </w:rPr>
        <w:t xml:space="preserve">.</w:t>
      </w:r>
    </w:p>
    <w:p w:rsidR="00000000" w:rsidDel="00000000" w:rsidP="00000000" w:rsidRDefault="00000000" w:rsidRPr="00000000" w14:paraId="0000008C">
      <w:pPr>
        <w:spacing w:line="240" w:lineRule="auto"/>
        <w:rPr>
          <w:rFonts w:ascii="Times New Roman" w:cs="Times New Roman" w:eastAsia="Times New Roman" w:hAnsi="Times New Roman"/>
          <w:color w:val="333333"/>
          <w:sz w:val="24"/>
          <w:szCs w:val="24"/>
        </w:rPr>
      </w:pP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color w:val="333333"/>
          <w:sz w:val="24"/>
          <w:szCs w:val="24"/>
        </w:rPr>
      </w:pPr>
      <w:hyperlink r:id="rId10">
        <w:r w:rsidDel="00000000" w:rsidR="00000000" w:rsidRPr="00000000">
          <w:rPr>
            <w:rFonts w:ascii="Times New Roman" w:cs="Times New Roman" w:eastAsia="Times New Roman" w:hAnsi="Times New Roman"/>
            <w:color w:val="1155cc"/>
            <w:u w:val="single"/>
            <w:rtl w:val="0"/>
          </w:rPr>
          <w:t xml:space="preserve">https://www.youtube.com/watch?v=1iSuZngvCpY</w:t>
        </w:r>
      </w:hyperlink>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color w:val="333333"/>
          <w:sz w:val="24"/>
          <w:szCs w:val="24"/>
          <w:highlight w:val="yellow"/>
        </w:rPr>
      </w:pPr>
      <w:r w:rsidDel="00000000" w:rsidR="00000000" w:rsidRPr="00000000">
        <w:rPr>
          <w:rFonts w:ascii="Times New Roman" w:cs="Times New Roman" w:eastAsia="Times New Roman" w:hAnsi="Times New Roman"/>
          <w:color w:val="333333"/>
          <w:sz w:val="24"/>
          <w:szCs w:val="24"/>
          <w:highlight w:val="yellow"/>
        </w:rPr>
        <w:drawing>
          <wp:inline distB="114300" distT="114300" distL="114300" distR="114300">
            <wp:extent cx="3752850" cy="3362325"/>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752850" cy="3362325"/>
                    </a:xfrm>
                    <a:prstGeom prst="rect"/>
                    <a:ln/>
                  </pic:spPr>
                </pic:pic>
              </a:graphicData>
            </a:graphic>
          </wp:inline>
        </w:drawing>
      </w:r>
      <w:r w:rsidDel="00000000" w:rsidR="00000000" w:rsidRPr="00000000">
        <w:rPr>
          <w:rtl w:val="0"/>
        </w:rPr>
      </w:r>
    </w:p>
    <w:p w:rsidR="00000000" w:rsidDel="00000000" w:rsidP="00000000" w:rsidRDefault="00000000" w:rsidRPr="00000000" w14:paraId="0000008F">
      <w:pPr>
        <w:spacing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943600" cy="4457700"/>
            <wp:effectExtent b="0" l="0" r="0" t="0"/>
            <wp:docPr id="2"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5943600" cy="4457700"/>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color w:val="333333"/>
          <w:sz w:val="24"/>
          <w:szCs w:val="24"/>
        </w:rPr>
      </w:pPr>
      <w:r w:rsidDel="00000000" w:rsidR="00000000" w:rsidRPr="00000000">
        <w:rPr>
          <w:rFonts w:ascii="Times New Roman" w:cs="Times New Roman" w:eastAsia="Times New Roman" w:hAnsi="Times New Roman"/>
          <w:color w:val="333333"/>
          <w:sz w:val="24"/>
          <w:szCs w:val="24"/>
          <w:rtl w:val="0"/>
        </w:rPr>
        <w:t xml:space="preserve">Health Triangle Self-Assessment </w:t>
      </w:r>
    </w:p>
    <w:p w:rsidR="00000000" w:rsidDel="00000000" w:rsidP="00000000" w:rsidRDefault="00000000" w:rsidRPr="00000000" w14:paraId="00000092">
      <w:pPr>
        <w:spacing w:line="240" w:lineRule="auto"/>
        <w:rPr>
          <w:rFonts w:ascii="Times New Roman" w:cs="Times New Roman" w:eastAsia="Times New Roman" w:hAnsi="Times New Roman"/>
        </w:rPr>
      </w:pPr>
      <w:hyperlink r:id="rId13">
        <w:r w:rsidDel="00000000" w:rsidR="00000000" w:rsidRPr="00000000">
          <w:rPr>
            <w:rFonts w:ascii="Times New Roman" w:cs="Times New Roman" w:eastAsia="Times New Roman" w:hAnsi="Times New Roman"/>
            <w:color w:val="1155cc"/>
            <w:sz w:val="24"/>
            <w:szCs w:val="24"/>
            <w:u w:val="single"/>
            <w:rtl w:val="0"/>
          </w:rPr>
          <w:t xml:space="preserve">https://1.cdn.edl.io/WUTTdy5n6twrWeuXVdjkb03XhiSLQZaf9aYtJmlBMlxNYNJ7.pdf</w:t>
        </w:r>
      </w:hyperlink>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color w:val="222222"/>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www.youtube.com/watch?v=1iSuZngvCpY" TargetMode="External"/><Relationship Id="rId13" Type="http://schemas.openxmlformats.org/officeDocument/2006/relationships/hyperlink" Target="https://1.cdn.edl.io/WUTTdy5n6twrWeuXVdjkb03XhiSLQZaf9aYtJmlBMlxNYNJ7.pdf" TargetMode="Externa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ealthypeople.gov/2020/topics-objectives/topic/social-determinants-of-health" TargetMode="External"/><Relationship Id="rId5" Type="http://schemas.openxmlformats.org/officeDocument/2006/relationships/styles" Target="styles.xml"/><Relationship Id="rId6" Type="http://schemas.openxmlformats.org/officeDocument/2006/relationships/hyperlink" Target="http://www.corestandards.org/ELA-Literacy/RST/11-12/7/" TargetMode="External"/><Relationship Id="rId7" Type="http://schemas.openxmlformats.org/officeDocument/2006/relationships/hyperlink" Target="https://www.youtube.com/watch?v=1iSuZngvCpY" TargetMode="External"/><Relationship Id="rId8" Type="http://schemas.openxmlformats.org/officeDocument/2006/relationships/hyperlink" Target="https://www.kff.org/disparities-policy/issue-brief/beyond-health-care-the-role-of-social-determinants-in-promoting-health-and-health-equ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